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line="400"/>
      </w:pPr>
    </w:p>
    <w:p>
      <w:pPr>
        <w:spacing w:line="400"/>
      </w:pPr>
    </w:p>
    <w:p>
      <w:pPr>
        <w:spacing w:line="400"/>
      </w:pPr>
    </w:p>
    <w:p>
      <w:pPr>
        <w:spacing w:line="400"/>
        <w:jc w:val="center"/>
      </w:pPr>
      <w:r>
        <w:t xml:space="preserve">GREENFIELD</w:t>
      </w:r>
    </w:p>
    <w:p>
      <w:pPr>
        <w:spacing w:line="400"/>
        <w:jc w:val="center"/>
      </w:pPr>
      <w:r>
        <w:t xml:space="preserve">Data &amp; AI Solutions</w:t>
      </w:r>
    </w:p>
    <w:p>
      <w:pPr>
        <w:spacing w:line="400"/>
      </w:pPr>
    </w:p>
    <w:p>
      <w:pPr>
        <w:spacing w:line="400"/>
        <w:jc w:val="center"/>
      </w:pPr>
      <w:r>
        <w:t xml:space="preserve">APPENDIX B</w:t>
      </w:r>
    </w:p>
    <w:p>
      <w:pPr>
        <w:spacing w:line="400"/>
      </w:pPr>
    </w:p>
    <w:p>
      <w:pPr>
        <w:spacing w:line="400"/>
        <w:jc w:val="center"/>
      </w:pPr>
      <w:r>
        <w:t xml:space="preserve">Shared Data Products &amp; Domain Clustering</w:t>
      </w:r>
    </w:p>
    <w:p>
      <w:pPr>
        <w:spacing w:line="400"/>
      </w:pPr>
    </w:p>
    <w:p>
      <w:pPr>
        <w:spacing w:line="400"/>
        <w:jc w:val="center"/>
      </w:pPr>
      <w:r>
        <w:t xml:space="preserve">Fabric-Primary Architecture — v1.0</w:t>
      </w:r>
    </w:p>
    <w:p>
      <w:pPr>
        <w:spacing w:line="400"/>
      </w:pPr>
    </w:p>
    <w:p>
      <w:pPr>
        <w:spacing w:line="400"/>
      </w:pPr>
    </w:p>
    <w:p>
      <w:pPr>
        <w:spacing w:line="400"/>
        <w:jc w:val="center"/>
      </w:pPr>
      <w:r>
        <w:t xml:space="preserve">Classification: CONFIDENTIAL</w:t>
      </w:r>
    </w:p>
    <w:p>
      <w:pPr>
        <w:spacing w:line="400"/>
      </w:pPr>
    </w:p>
    <w:p>
      <w:pPr>
        <w:spacing w:line="400"/>
        <w:jc w:val="center"/>
      </w:pPr>
      <w:r>
        <w:t xml:space="preserve">March 2026</w:t>
      </w:r>
    </w:p>
    <w:p>
      <w:pPr>
        <w:pStyle w:val="Heading1"/>
        <w:spacing w:line="400"/>
      </w:pPr>
      <w:r>
        <w:t xml:space="preserve">TABLE OF CONTENTS</w:t>
      </w:r>
    </w:p>
    <w:p>
      <w:pPr>
        <w:spacing w:line="360" w:after="100"/>
      </w:pPr>
      <w:r>
        <w:t xml:space="preserve">1. Shared Data Products</w:t>
      </w:r>
    </w:p>
    <w:p>
      <w:pPr>
        <w:spacing w:line="360"/>
      </w:pPr>
      <w:r>
        <w:t xml:space="preserve">   1.1 Definition &amp; Scope</w:t>
      </w:r>
    </w:p>
    <w:p>
      <w:pPr>
        <w:spacing w:line="360"/>
      </w:pPr>
      <w:r>
        <w:t xml:space="preserve">   1.2 OneLake Workspace Structure</w:t>
      </w:r>
    </w:p>
    <w:p>
      <w:pPr>
        <w:spacing w:line="360"/>
      </w:pPr>
      <w:r>
        <w:t xml:space="preserve">   1.3 Key Implementation Rules</w:t>
      </w:r>
    </w:p>
    <w:p>
      <w:pPr>
        <w:spacing w:line="360"/>
      </w:pPr>
      <w:r>
        <w:t xml:space="preserve">   1.4 Data Product Contract</w:t>
      </w:r>
    </w:p>
    <w:p>
      <w:pPr>
        <w:spacing w:line="360" w:after="100"/>
      </w:pPr>
      <w:r>
        <w:t xml:space="preserve">   1.5 Cross-Platform Access</w:t>
      </w:r>
    </w:p>
    <w:p>
      <w:pPr>
        <w:spacing w:line="360" w:after="100"/>
      </w:pPr>
      <w:r>
        <w:t xml:space="preserve">2. Clustering Data Domains by Business Sector</w:t>
      </w:r>
    </w:p>
    <w:p>
      <w:pPr>
        <w:spacing w:line="360"/>
      </w:pPr>
      <w:r>
        <w:t xml:space="preserve">   2.1 Sector Taxonomy</w:t>
      </w:r>
    </w:p>
    <w:p>
      <w:pPr>
        <w:spacing w:line="360"/>
      </w:pPr>
      <w:r>
        <w:t xml:space="preserve">   2.2 OneLake Workspace Topology</w:t>
      </w:r>
    </w:p>
    <w:p>
      <w:pPr>
        <w:spacing w:line="360"/>
      </w:pPr>
      <w:r>
        <w:t xml:space="preserve">   2.3 Environment Isolation</w:t>
      </w:r>
    </w:p>
    <w:p>
      <w:pPr>
        <w:spacing w:line="360"/>
      </w:pPr>
      <w:r>
        <w:t xml:space="preserve">   2.4 Rationale for Sector-level Workspaces</w:t>
      </w:r>
    </w:p>
    <w:p>
      <w:pPr>
        <w:spacing w:line="360"/>
      </w:pPr>
      <w:r>
        <w:t xml:space="preserve">   2.5 Stewardship Model</w:t>
      </w:r>
    </w:p>
    <w:p>
      <w:pPr>
        <w:spacing w:line="360" w:after="100"/>
      </w:pPr>
      <w:r>
        <w:t xml:space="preserve">   2.6 Cross-sector Access Pattern</w:t>
      </w:r>
    </w:p>
    <w:p>
      <w:pPr>
        <w:spacing w:line="360"/>
      </w:pPr>
      <w:r>
        <w:t xml:space="preserve">3. Summary — Key Decisions</w:t>
      </w:r>
    </w:p>
    <w:p>
      <w:pPr>
        <w:pStyle w:val="Heading1"/>
        <w:spacing w:before="400" w:after="200"/>
        <w:outlineLvl w:val="0"/>
      </w:pPr>
      <w:r>
        <w:t xml:space="preserve">1. Shared Data Products</w:t>
      </w:r>
    </w:p>
    <w:p>
      <w:pPr>
        <w:pStyle w:val="Heading2"/>
        <w:spacing w:before="200" w:after="100"/>
        <w:outlineLvl w:val="1"/>
      </w:pPr>
      <w:r>
        <w:t xml:space="preserve">1.1 Definition &amp; Scope</w:t>
      </w:r>
    </w:p>
    <w:p>
      <w:pPr>
        <w:spacing w:line="360" w:after="100"/>
      </w:pPr>
      <w:r>
        <w:t xml:space="preserve">Cross-cutting Gold-layer assets owned centrally by Architecture &amp; Data Engineering practice. Candidates include: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Customer 360 (party profile, household, segmentation)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Counterparty &amp; Reference Data (country codes, currency rates, product catalogue)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Enterprise Risk Scores (credit, AML, fraud)</w:t>
      </w:r>
    </w:p>
    <w:p>
      <w:pPr>
        <w:pStyle w:val="ListParagraph"/>
        <w:numPr>
          <w:ilvl w:val="0"/>
          <w:numId w:val="1"/>
        </w:numPr>
        <w:spacing w:line="360" w:after="200"/>
      </w:pPr>
      <w:r>
        <w:t xml:space="preserve">Financial Calendar</w:t>
      </w:r>
    </w:p>
    <w:p>
      <w:pPr>
        <w:pStyle w:val="Heading2"/>
        <w:spacing w:before="200" w:after="100"/>
        <w:outlineLvl w:val="1"/>
      </w:pPr>
      <w:r>
        <w:t xml:space="preserve">1.2 OneLake Workspace Structure</w:t>
      </w:r>
    </w:p>
    <w:p>
      <w:pPr>
        <w:spacing w:line="360" w:after="100"/>
      </w:pPr>
      <w:r>
        <w:t xml:space="preserve">Dedicated ws-shared-gold workspace replacing Unity Catalog ent_shared. Lakehouses: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lh_customer_360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lh_reference_data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lh_risk_enterprise</w:t>
      </w:r>
    </w:p>
    <w:p>
      <w:pPr>
        <w:pStyle w:val="ListParagraph"/>
        <w:numPr>
          <w:ilvl w:val="0"/>
          <w:numId w:val="1"/>
        </w:numPr>
        <w:spacing w:line="360" w:after="100"/>
      </w:pPr>
      <w:r>
        <w:t xml:space="preserve">lh_financial_calendar</w:t>
      </w:r>
    </w:p>
    <w:p>
      <w:pPr>
        <w:spacing w:line="360" w:after="200"/>
      </w:pPr>
      <w:r>
        <w:t xml:space="preserve">Write access is restricted to grp_data_products_central (Member role). Consumers access via OneLake shortcuts in their sector workspaces (zero-copy).</w:t>
      </w:r>
    </w:p>
    <w:p>
      <w:pPr>
        <w:pStyle w:val="Heading2"/>
        <w:spacing w:before="200" w:after="100"/>
        <w:outlineLvl w:val="1"/>
      </w:pPr>
      <w:r>
        <w:t xml:space="preserve">1.3 Key Implementation Rules</w:t>
      </w:r>
    </w:p>
    <w:p>
      <w:pPr>
        <w:spacing w:line="360" w:after="200"/>
      </w:pPr>
      <w:r>
        <w:t xml:space="preserve">Single Data Product Owner per product. Promotion via Fabric Deployment Pipelines (dev→test→prod). Purview sensitivity labels at table/column level. Fabric RLS on Power BI models consuming shared products. Manta lineage from source→pipeline→shared product→consumer workspace.</w:t>
      </w:r>
    </w:p>
    <w:p>
      <w:pPr>
        <w:pStyle w:val="Heading2"/>
        <w:spacing w:before="200" w:after="100"/>
        <w:outlineLvl w:val="1"/>
      </w:pPr>
      <w:r>
        <w:t xml:space="preserve">1.4 Data Product Contract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Component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Description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Location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Schema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Column names, types, nullability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ws-shared-gold metadata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SLA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Refresh frequency, availability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Data Product Owner contract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Refresh Schedule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Pipeline schedule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Fabric Deployment Pipelines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Consumer Inventory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List of consuming workspaces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Purview/Manta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Data Quality Score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Quality metrics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Power BI dashboard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Sensitivity Classification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Purview sensitivity labels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Purview catalog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Data Owner Contact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Owner name, email, phone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Active Directory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Last Updated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Timestamp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OneLake metadata</w:t>
            </w:r>
          </w:p>
        </w:tc>
      </w:tr>
    </w:tbl>
    <w:p>
      <w:pPr>
        <w:spacing w:after="200"/>
      </w:pPr>
    </w:p>
    <w:p>
      <w:pPr>
        <w:pStyle w:val="Heading2"/>
        <w:spacing w:before="200" w:after="100"/>
        <w:outlineLvl w:val="1"/>
      </w:pPr>
      <w:r>
        <w:t xml:space="preserve">1.5 Cross-Platform Access</w:t>
      </w:r>
    </w:p>
    <w:p>
      <w:pPr>
        <w:spacing w:line="360" w:after="100"/>
      </w:pPr>
      <w:r>
        <w:t xml:space="preserve">Fabric Consumers:</w:t>
      </w:r>
    </w:p>
    <w:p>
      <w:pPr>
        <w:pStyle w:val="ListParagraph"/>
        <w:numPr>
          <w:ilvl w:val="1"/>
          <w:numId w:val="1"/>
        </w:numPr>
        <w:spacing w:line="360" w:after="100"/>
      </w:pPr>
      <w:r>
        <w:t xml:space="preserve">OneLake shortcuts (zero-copy). Sector workspaces create shortcuts to ws-shared-gold.</w:t>
      </w:r>
    </w:p>
    <w:p>
      <w:pPr>
        <w:spacing w:line="360" w:after="100"/>
      </w:pPr>
      <w:r>
        <w:t xml:space="preserve">Databricks Consumers:</w:t>
      </w:r>
    </w:p>
    <w:p>
      <w:pPr>
        <w:pStyle w:val="ListParagraph"/>
        <w:numPr>
          <w:ilvl w:val="1"/>
          <w:numId w:val="1"/>
        </w:numPr>
        <w:spacing w:line="360" w:after="100"/>
      </w:pPr>
      <w:r>
        <w:t xml:space="preserve">OneLake shortcuts to ADLS Gen2 storage, or Fabric Mirroring. Unity Catalog mounts OneLake paths as external tables.</w:t>
      </w:r>
    </w:p>
    <w:p>
      <w:pPr>
        <w:spacing w:line="360" w:after="100"/>
      </w:pPr>
      <w:r>
        <w:t xml:space="preserve">SAS Consumers:</w:t>
      </w:r>
    </w:p>
    <w:p>
      <w:pPr>
        <w:pStyle w:val="ListParagraph"/>
        <w:numPr>
          <w:ilvl w:val="1"/>
          <w:numId w:val="1"/>
        </w:numPr>
        <w:spacing w:line="360" w:after="100"/>
      </w:pPr>
      <w:r>
        <w:t xml:space="preserve">Non-sensitive via JDBC LIBNAME to Fabric SQL Analytics Endpoints. Sensitive via JDBC to Databricks SQL Warehouses.</w:t>
      </w:r>
    </w:p>
    <w:p>
      <w:pPr>
        <w:spacing w:line="360" w:after="100"/>
      </w:pPr>
      <w:r>
        <w:t xml:space="preserve">External Partners:</w:t>
      </w:r>
    </w:p>
    <w:p>
      <w:pPr>
        <w:pStyle w:val="ListParagraph"/>
        <w:numPr>
          <w:ilvl w:val="1"/>
          <w:numId w:val="1"/>
        </w:numPr>
        <w:spacing w:line="360" w:after="200"/>
      </w:pPr>
      <w:r>
        <w:t xml:space="preserve">Fabric Data Sharing (B2B), Delta Sharing via Databricks, or secure SFTP/S3 export.</w:t>
      </w:r>
    </w:p>
    <w:p>
      <w:pPr>
        <w:pStyle w:val="Heading1"/>
        <w:spacing w:before="400" w:after="200"/>
        <w:outlineLvl w:val="0"/>
      </w:pPr>
      <w:r>
        <w:t xml:space="preserve">2. Clustering Data Domains by Business Sector</w:t>
      </w:r>
    </w:p>
    <w:p>
      <w:pPr>
        <w:pStyle w:val="Heading2"/>
        <w:spacing w:before="200" w:after="100"/>
        <w:outlineLvl w:val="1"/>
      </w:pPr>
      <w:r>
        <w:t xml:space="preserve">2.1 Sector Taxonomy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Sector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Business Lines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Data Domains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Key Workspaces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Banking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Personal, Enterprise, Payments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Transactions, Accounts, Payments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ws-banking-*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Insurance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P&amp;C, Life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Policies, Claims, Underwriting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ws-insurance-*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Wealth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Investment, Advisory, Asset Management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Portfolios, Performance, Positions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ws-wealth-*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Enterprise / Transversal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Risk, Compliance, Finance, HR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Risk Scores, Compliance, GL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ws-enterprise-*</w:t>
            </w:r>
          </w:p>
        </w:tc>
      </w:tr>
    </w:tbl>
    <w:p>
      <w:pPr>
        <w:spacing w:after="200"/>
      </w:pPr>
    </w:p>
    <w:p>
      <w:pPr>
        <w:pStyle w:val="Heading2"/>
        <w:spacing w:before="200" w:after="100"/>
        <w:outlineLvl w:val="1"/>
      </w:pPr>
      <w:r>
        <w:t xml:space="preserve">2.2 OneLake Workspace Topology</w:t>
      </w:r>
    </w:p>
    <w:p>
      <w:pPr>
        <w:spacing w:line="360" w:after="100"/>
      </w:pPr>
      <w:r>
        <w:t xml:space="preserve">Replaces Unity Catalog catalogs with OneLake workspaces. Hierarchy: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Sector workspaces (bronze/silver/gold)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ws-shared-gold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ws-bi-serving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ws-data-science</w:t>
      </w:r>
    </w:p>
    <w:p>
      <w:pPr>
        <w:pStyle w:val="ListParagraph"/>
        <w:numPr>
          <w:ilvl w:val="0"/>
          <w:numId w:val="1"/>
        </w:numPr>
        <w:spacing w:line="360" w:after="200"/>
      </w:pPr>
      <w:r>
        <w:t xml:space="preserve">ws-databricks-integration</w:t>
      </w:r>
    </w:p>
    <w:p>
      <w:pPr>
        <w:spacing w:line="360" w:after="200"/>
      </w:pPr>
      <w:r>
        <w:t xml:space="preserve">Each workspace is an RBAC boundary for Purview governance and Deployment Pipelines.</w:t>
      </w:r>
    </w:p>
    <w:p>
      <w:pPr>
        <w:pStyle w:val="Heading2"/>
        <w:spacing w:before="200" w:after="100"/>
        <w:outlineLvl w:val="1"/>
      </w:pPr>
      <w:r>
        <w:t xml:space="preserve">2.3 Environment Isolation</w:t>
      </w:r>
    </w:p>
    <w:p>
      <w:pPr>
        <w:spacing w:line="360" w:after="200"/>
      </w:pPr>
      <w:r>
        <w:t xml:space="preserve">Dev/test/prod via Fabric Deployment Pipelines. Naming convention: ws-{sector}-{tier}-{env}.</w:t>
      </w:r>
    </w:p>
    <w:p>
      <w:pPr>
        <w:pStyle w:val="Heading2"/>
        <w:spacing w:before="200" w:after="100"/>
        <w:outlineLvl w:val="1"/>
      </w:pPr>
      <w:r>
        <w:t xml:space="preserve">2.4 Rationale for Sector-level Workspaces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Single IAM boundary per sector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Intra-sector analytics without cross-workspace shortcuts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Simpler Purview governance (workspace = scan boundary)</w:t>
      </w:r>
    </w:p>
    <w:p>
      <w:pPr>
        <w:pStyle w:val="ListParagraph"/>
        <w:numPr>
          <w:ilvl w:val="0"/>
          <w:numId w:val="1"/>
        </w:numPr>
        <w:spacing w:line="360"/>
      </w:pPr>
      <w:r>
        <w:t xml:space="preserve">Cost attribution per sector</w:t>
      </w:r>
    </w:p>
    <w:p>
      <w:pPr>
        <w:pStyle w:val="ListParagraph"/>
        <w:numPr>
          <w:ilvl w:val="0"/>
          <w:numId w:val="1"/>
        </w:numPr>
        <w:spacing w:line="360" w:after="200"/>
      </w:pPr>
      <w:r>
        <w:t xml:space="preserve">Independent release cycles via Deployment Pipelines</w:t>
      </w:r>
    </w:p>
    <w:p>
      <w:pPr>
        <w:pStyle w:val="Heading2"/>
        <w:spacing w:before="200" w:after="100"/>
        <w:outlineLvl w:val="1"/>
      </w:pPr>
      <w:r>
        <w:t xml:space="preserve">2.5 Stewardship Model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Role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Entra Group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Workspace Responsibilities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Access Level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Sector Steward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grp-{sector}-steward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Admin on prod workspace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Owner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Domain Lead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grp-{sector}-domain-lead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Contributor on silver/gold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Contributor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Data Engineer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grp-{sector}-engineer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Contributor on bronze/silver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Contributor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Data Analyst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grp-{sector}-analyst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Viewer on gold + Contributor on ws-bi-serving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Viewer/Contributor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Central Data Products Team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grp_data_products_central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Admin on ws-shared-gold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Admin</w:t>
            </w:r>
          </w:p>
        </w:tc>
      </w:tr>
    </w:tbl>
    <w:p>
      <w:pPr>
        <w:spacing w:after="200"/>
      </w:pPr>
    </w:p>
    <w:p>
      <w:pPr>
        <w:pStyle w:val="Heading2"/>
        <w:spacing w:before="200" w:after="100"/>
        <w:outlineLvl w:val="1"/>
      </w:pPr>
      <w:r>
        <w:t xml:space="preserve">2.6 Cross-sector Access Pattern</w:t>
      </w:r>
    </w:p>
    <w:p>
      <w:pPr>
        <w:spacing w:line="360" w:after="200"/>
      </w:pPr>
      <w:r>
        <w:t xml:space="preserve">Hub-and-spoke via ws-shared-gold. No direct cross-sector shortcuts. Power BI models in ws-bi-serving connect to multiple sectors using shortcuts + RLS.</w:t>
      </w:r>
    </w:p>
    <w:p>
      <w:pPr>
        <w:pStyle w:val="Heading1"/>
        <w:spacing w:before="400" w:after="200"/>
        <w:outlineLvl w:val="0"/>
      </w:pPr>
      <w:r>
        <w:t xml:space="preserve">3. Summary — Key Decisions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Decision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Fabric-Primary Approach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Rationale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Impact vs Databricks-Primary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Shared Product Repository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ws-shared-gold (OneLake lakehouse)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Centralized, Fabric-native, zero-copy access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Simpler topology, no UC complexity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Consumer Access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OneLake shortcuts (Fabric), External tables (Databricks)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Zero-copy, governed, with RLS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Improved performance, reduced duplication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Sector Organization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OneLake workspaces (bronze/silver/gold per sector)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Clear RBAC boundaries, cost attribution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Replaces UC catalogs; simpler governance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Cross-Sector Analytics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Hub-and-spoke (ws-bi-serving with RLS)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No direct cross-workspace data movement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Prevents data duplication, maintains security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Sensitive Data Security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Purview labels + Fabric RLS + Databricks JDBC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Multi-layer enforcement at rest and query-time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Complies with AMF/OSFI/Law 25 requirements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Lineage &amp; Audit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Manta (end-to-end source→consumer tracking)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Unified lineage across Fabric/Databricks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Single lineage backbone vs dual tracking</w:t>
            </w:r>
          </w:p>
        </w:tc>
      </w:tr>
      <w:tr>
        <w:trPr>
          <w:trHeight w:val="300" w:hRule="atLeast"/>
        </w:trPr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Environment Promotion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Fabric Deployment Pipelines (dev→test→prod)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Native Fabric CI/CD, no external tools</w:t>
            </w:r>
          </w:p>
        </w:tc>
        <w:tc>
          <w:tcPr>
            <w:tcBorders>
              <w:top w:val="single" w:color="CCCCCC"/>
              <w:left w:val="single" w:color="CCCCCC"/>
              <w:bottom w:val="single" w:color="CCCCCC"/>
              <w:right w:val="single" w:color="CCCCCC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r>
              <w:t xml:space="preserve">Simpler workflows than Databricks Workflows</w:t>
            </w:r>
          </w:p>
        </w:tc>
      </w:tr>
    </w:tbl>
    <w:p>
      <w:pPr>
        <w:spacing w:before="400"/>
        <w:jc w:val="left"/>
      </w:pPr>
      <w:r>
        <w:t xml:space="preserve">Document prepared by the Modern Data Platform team, Data &amp; AI Solutions, Greenfield.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2026-03-06T05:34:52.413Z</dcterms:created>
  <dcterms:modified xsi:type="dcterms:W3CDTF">2026-03-06T05:34:52.413Z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